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034A77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627176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665BB88C" w:rsidR="00211D24" w:rsidRDefault="00211D24" w:rsidP="00211D24">
      <w:pPr>
        <w:jc w:val="both"/>
      </w:pPr>
      <w:r w:rsidRPr="00DB5450">
        <w:t>Postup hodnocení záměrů je uveden v</w:t>
      </w:r>
      <w:r w:rsidR="00DF18F7" w:rsidRPr="00DB5450">
        <w:t xml:space="preserve"> Interních postupech </w:t>
      </w:r>
      <w:r w:rsidRPr="00DB5450">
        <w:t xml:space="preserve">MAS </w:t>
      </w:r>
      <w:r w:rsidR="00E47B83" w:rsidRPr="00DB5450">
        <w:t>Radbuza</w:t>
      </w:r>
      <w:r w:rsidR="00DF18F7" w:rsidRPr="00DB5450">
        <w:t xml:space="preserve">, kapitola 4 </w:t>
      </w:r>
      <w:r w:rsidRPr="00DB5450">
        <w:t>„</w:t>
      </w:r>
      <w:r w:rsidR="00AB19E4" w:rsidRPr="00DB5450">
        <w:t>Hodnocení projektů</w:t>
      </w:r>
      <w:r w:rsidRPr="00DB5450">
        <w:t xml:space="preserve">“. </w:t>
      </w:r>
      <w:r w:rsidR="00DF18F7" w:rsidRPr="00DB5450">
        <w:t xml:space="preserve">Postupy </w:t>
      </w:r>
      <w:r w:rsidRPr="00DB5450">
        <w:t>j</w:t>
      </w:r>
      <w:r w:rsidR="00DF18F7" w:rsidRPr="00DB5450">
        <w:t xml:space="preserve">sou </w:t>
      </w:r>
      <w:r w:rsidRPr="00DB5450">
        <w:t>zveřejněn</w:t>
      </w:r>
      <w:r w:rsidR="00DF18F7" w:rsidRPr="00DB5450">
        <w:t xml:space="preserve">y </w:t>
      </w:r>
      <w:r w:rsidRPr="00DB5450">
        <w:t xml:space="preserve">na: </w:t>
      </w:r>
      <w:hyperlink r:id="rId10" w:history="1">
        <w:r w:rsidR="00DB5450" w:rsidRPr="00DB5450">
          <w:rPr>
            <w:rStyle w:val="Hypertextovodkaz"/>
          </w:rPr>
          <w:t>https://www.mas-radbuza.cz/wp-content/uploads/dotace-mas/vyacutezvy-sclld/IROP-2021-2027/Intern%C3%AD-postupy-MAS-Rad</w:t>
        </w:r>
        <w:r w:rsidR="00DB5450" w:rsidRPr="00DB5450">
          <w:rPr>
            <w:rStyle w:val="Hypertextovodkaz"/>
          </w:rPr>
          <w:t>b</w:t>
        </w:r>
        <w:r w:rsidR="00DB5450" w:rsidRPr="00DB5450">
          <w:rPr>
            <w:rStyle w:val="Hypertextovodkaz"/>
          </w:rPr>
          <w:t>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5F9EE655" w14:textId="77777777" w:rsidR="00021416" w:rsidRDefault="00021416" w:rsidP="0002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>
        <w:rPr>
          <w:b/>
          <w:bCs/>
          <w:sz w:val="24"/>
        </w:rPr>
        <w:t>ec9xkbc.</w:t>
      </w:r>
      <w:r>
        <w:rPr>
          <w:sz w:val="24"/>
        </w:rPr>
        <w:t xml:space="preserve"> </w:t>
      </w:r>
      <w:r w:rsidRPr="002C2B4D">
        <w:rPr>
          <w:szCs w:val="20"/>
        </w:rPr>
        <w:t>Ostatní</w:t>
      </w:r>
      <w:r>
        <w:t xml:space="preserve"> relevantní přílohy je nutné zaslat prostřednictvím e-mailu na adresu: </w:t>
      </w:r>
      <w:r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6159733" w:rsidR="00211D24" w:rsidRPr="00E51294" w:rsidRDefault="00211D24" w:rsidP="00E51294">
      <w:pPr>
        <w:pStyle w:val="Zkladnodstavec"/>
        <w:rPr>
          <w:color w:val="00B050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59139D" w:rsidRPr="0059139D">
        <w:rPr>
          <w:b/>
          <w:bCs/>
          <w:sz w:val="28"/>
          <w:szCs w:val="28"/>
        </w:rPr>
        <w:t>Infrastruktura pro cyklistickou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1E462A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528BC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110FC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D4C294" w14:textId="77777777" w:rsidR="000C1B4B" w:rsidRDefault="000C1B4B" w:rsidP="00755FF3">
            <w:pPr>
              <w:rPr>
                <w:b/>
              </w:rPr>
            </w:pPr>
          </w:p>
          <w:p w14:paraId="6CF1AC39" w14:textId="77A6AA00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2D77F5">
              <w:rPr>
                <w:b/>
                <w:bCs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110FCC" w:rsidRPr="00586900" w14:paraId="686FE21C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65DA7127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2D77F5">
              <w:rPr>
                <w:b/>
                <w:bCs/>
              </w:rPr>
              <w:t>Uvedení intenzity cyklistické dopravy, která musí přesahovat 220 cyklistů v běžný pracovní den u doprovodné cyklistické infrastruktury při vyhrazené komunikaci pro cyklisty s vysokou intenzitou dopravy, kterou je dotčena stávající vyhrazená komunikace pro cyklisty.</w:t>
            </w:r>
          </w:p>
        </w:tc>
      </w:tr>
      <w:tr w:rsidR="00110FCC" w:rsidRPr="00586900" w14:paraId="735A55B1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110FCC" w:rsidRPr="00C93317" w:rsidRDefault="00110FCC" w:rsidP="00110FCC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Uveďte…</w:t>
            </w:r>
          </w:p>
        </w:tc>
      </w:tr>
      <w:tr w:rsidR="00110FCC" w:rsidRPr="00586900" w14:paraId="38496464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10FCC" w:rsidRPr="00586900" w14:paraId="0F6AE7B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110FCC" w:rsidRDefault="00110FCC" w:rsidP="00110FCC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110FCC" w:rsidRPr="004D7A8D" w:rsidRDefault="00110FCC" w:rsidP="00110F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projekt zahrnuje environmentální aspekty.</w:t>
            </w:r>
          </w:p>
          <w:p w14:paraId="1B744BBA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5FCCEB31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729D163C" w14:textId="5789E2C1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  <w:tr w:rsidR="00110FCC" w:rsidRPr="00586900" w14:paraId="6E5B40A6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110FCC" w:rsidRPr="00586900" w:rsidRDefault="00110FCC" w:rsidP="00110FCC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8D10F20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110FCC" w:rsidRPr="00586900" w14:paraId="3B0E3A63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10FCC" w:rsidRPr="00586900" w14:paraId="194DEBD8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110FCC" w:rsidRPr="00586900" w14:paraId="64586A5E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B7F07F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1ED54B76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Projekt zahrnuje některou aktivitu z bodů a) až h):</w:t>
            </w:r>
          </w:p>
          <w:p w14:paraId="6C097AF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2BE9EE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25E21F71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přejezdy pro cyklisty, související místa pro přecházení a přechody pro chodce, jejich nasvětlení a ochranné ostrůvky, vysazené chodníkové plochy</w:t>
            </w:r>
          </w:p>
          <w:p w14:paraId="6EDCF5A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přejezdu pro cyklisty nebo samostatného přechodu pro chodce s přejezdem pro cyklisty</w:t>
            </w:r>
          </w:p>
          <w:p w14:paraId="2DC841E9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 v zastavěném území obce</w:t>
            </w:r>
          </w:p>
          <w:p w14:paraId="76955D6F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infrastruktura přímo napojená na vyhrazenou komunikaci pro cyklisty - infrastruktura pro parkování max. 40 ks jízdních kol v jedné lokalitě (volně dostupné pevné stojany, uzamykatelné boxy, příslušné zpevněné a nezpevněné plochy, přístřešky, osvětlení, detekce obsazenosti, nabíjecí stanice ve vlastnictví žadatele/příjemce sloužící k dobíjení elektrokol za cenu v místě a čase obvyklou), odpočívky a jejich další vybavení (lavičky, stolky,</w:t>
            </w:r>
            <w:r w:rsidRPr="006311FB">
              <w:rPr>
                <w:sz w:val="22"/>
                <w:szCs w:val="22"/>
              </w:rPr>
              <w:t xml:space="preserve"> </w:t>
            </w: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přístřešky, osvětlení, infopanely a mapy, odpadkové koše, pítka, toalety, servisní nářadí), </w:t>
            </w: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lastRenderedPageBreak/>
              <w:t>přímé napojení doprovodné infrastruktury na vyhrazenou komunikaci pro cyklisty v délce max. 10 m</w:t>
            </w:r>
          </w:p>
          <w:p w14:paraId="5B2E6AB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stezka pro chodce umístěná podél stezky pro cyklisty v přidruženém prostoru pozemní komunikace</w:t>
            </w:r>
          </w:p>
          <w:p w14:paraId="5D5D6E2C" w14:textId="3D5C20A7" w:rsidR="00110FCC" w:rsidRPr="005A66CC" w:rsidRDefault="005A66CC" w:rsidP="005A66CC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5A66CC">
              <w:rPr>
                <w:b/>
              </w:rPr>
              <w:t>doprovodná zeleň, vegetační úpravy stavbou dotčených nezpevněných pozemků</w:t>
            </w:r>
          </w:p>
        </w:tc>
      </w:tr>
      <w:tr w:rsidR="00110FCC" w:rsidRPr="00586900" w14:paraId="2B83918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</w:t>
            </w:r>
            <w:r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440FC19E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D8B1785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47D4D63B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uživatelů specializované cyklistické infrastruktury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0C800C4C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4781688F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</w:rPr>
              <w:t>Podpořená specializovaná cyklistická infrastruktura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5B34C620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273A42B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764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100F3512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Parkovací místa pro jízdní kola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953D473" w14:textId="77777777" w:rsidR="00CC0C61" w:rsidRPr="00CC0C61" w:rsidRDefault="00CC0C61" w:rsidP="00CC0C6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parkovací místa</w:t>
            </w:r>
          </w:p>
          <w:p w14:paraId="3B24CB88" w14:textId="7D4CE78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60A8690" w14:textId="77777777" w:rsidR="002D77F5" w:rsidRDefault="002D77F5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857A8A4" w14:textId="77777777" w:rsidR="00E51294" w:rsidRDefault="00E51294" w:rsidP="006E6251"/>
    <w:p w14:paraId="4181FE42" w14:textId="77777777" w:rsidR="00E51294" w:rsidRDefault="00E51294" w:rsidP="006E6251"/>
    <w:p w14:paraId="3D7A8A6F" w14:textId="77777777" w:rsidR="00E51294" w:rsidRDefault="00E51294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F35B7C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0CF" w14:textId="07A8AAB6" w:rsidR="00627176" w:rsidRDefault="00B639F8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1BED5924">
          <wp:simplePos x="0" y="0"/>
          <wp:positionH relativeFrom="column">
            <wp:posOffset>4716145</wp:posOffset>
          </wp:positionH>
          <wp:positionV relativeFrom="paragraph">
            <wp:posOffset>121920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717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5ED6D777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4525200" cy="774000"/>
          <wp:effectExtent l="0" t="0" r="0" b="762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200" cy="77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91B09AD6"/>
    <w:lvl w:ilvl="0" w:tplc="7D34D27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1416"/>
    <w:rsid w:val="000C1B4B"/>
    <w:rsid w:val="000E22D9"/>
    <w:rsid w:val="00106565"/>
    <w:rsid w:val="00110FCC"/>
    <w:rsid w:val="001115D4"/>
    <w:rsid w:val="00117535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C2B4D"/>
    <w:rsid w:val="002D77F5"/>
    <w:rsid w:val="002E7863"/>
    <w:rsid w:val="00302B62"/>
    <w:rsid w:val="00331076"/>
    <w:rsid w:val="00351DDA"/>
    <w:rsid w:val="00383F6D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9139D"/>
    <w:rsid w:val="005A3FAF"/>
    <w:rsid w:val="005A66CC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D1E1A"/>
    <w:rsid w:val="007D3F41"/>
    <w:rsid w:val="007E053F"/>
    <w:rsid w:val="00806654"/>
    <w:rsid w:val="008C6FB6"/>
    <w:rsid w:val="008D2D37"/>
    <w:rsid w:val="008F1B30"/>
    <w:rsid w:val="00920643"/>
    <w:rsid w:val="00991E7D"/>
    <w:rsid w:val="009D31A0"/>
    <w:rsid w:val="009D6026"/>
    <w:rsid w:val="00A528BC"/>
    <w:rsid w:val="00AB19E4"/>
    <w:rsid w:val="00AC004D"/>
    <w:rsid w:val="00B2672F"/>
    <w:rsid w:val="00B639F8"/>
    <w:rsid w:val="00BA3A50"/>
    <w:rsid w:val="00BA5D28"/>
    <w:rsid w:val="00BF3DE7"/>
    <w:rsid w:val="00C13769"/>
    <w:rsid w:val="00C566ED"/>
    <w:rsid w:val="00C930F7"/>
    <w:rsid w:val="00C93317"/>
    <w:rsid w:val="00C973FA"/>
    <w:rsid w:val="00C97923"/>
    <w:rsid w:val="00CB4496"/>
    <w:rsid w:val="00CB49DF"/>
    <w:rsid w:val="00CC0C61"/>
    <w:rsid w:val="00D62762"/>
    <w:rsid w:val="00D65CEA"/>
    <w:rsid w:val="00DB5450"/>
    <w:rsid w:val="00DC4000"/>
    <w:rsid w:val="00DE4122"/>
    <w:rsid w:val="00DF18F7"/>
    <w:rsid w:val="00E04150"/>
    <w:rsid w:val="00E20954"/>
    <w:rsid w:val="00E47B83"/>
    <w:rsid w:val="00E51294"/>
    <w:rsid w:val="00E77091"/>
    <w:rsid w:val="00E95273"/>
    <w:rsid w:val="00EA7CF9"/>
    <w:rsid w:val="00EF18AB"/>
    <w:rsid w:val="00F1085F"/>
    <w:rsid w:val="00F20DAB"/>
    <w:rsid w:val="00F35B7C"/>
    <w:rsid w:val="00F379D1"/>
    <w:rsid w:val="00F905BA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10</cp:revision>
  <dcterms:created xsi:type="dcterms:W3CDTF">2023-06-12T08:40:00Z</dcterms:created>
  <dcterms:modified xsi:type="dcterms:W3CDTF">2023-09-22T08:30:00Z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